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26E" w:rsidRPr="009A18C4" w:rsidRDefault="008D326E" w:rsidP="008D326E">
      <w:pPr>
        <w:rPr>
          <w:rFonts w:cs="Calibri"/>
          <w:b/>
          <w:sz w:val="28"/>
        </w:rPr>
      </w:pPr>
      <w:r w:rsidRPr="00D471C0">
        <w:rPr>
          <w:rFonts w:cs="Calibri"/>
          <w:b/>
          <w:sz w:val="28"/>
        </w:rPr>
        <w:t>Allegato 3.3</w:t>
      </w:r>
    </w:p>
    <w:p w:rsidR="008D326E" w:rsidRPr="008D326E" w:rsidRDefault="008D326E" w:rsidP="008D326E">
      <w:pPr>
        <w:jc w:val="center"/>
        <w:rPr>
          <w:rFonts w:cs="Calibri"/>
          <w:b/>
          <w:sz w:val="48"/>
          <w:szCs w:val="48"/>
        </w:rPr>
      </w:pPr>
      <w:proofErr w:type="gramStart"/>
      <w:r w:rsidRPr="008D326E">
        <w:rPr>
          <w:rFonts w:cs="Calibri"/>
          <w:b/>
          <w:sz w:val="48"/>
          <w:szCs w:val="48"/>
        </w:rPr>
        <w:t>COMUNE  DI</w:t>
      </w:r>
      <w:proofErr w:type="gramEnd"/>
      <w:r w:rsidRPr="008D326E">
        <w:rPr>
          <w:rFonts w:cs="Calibri"/>
          <w:b/>
          <w:sz w:val="48"/>
          <w:szCs w:val="48"/>
        </w:rPr>
        <w:t xml:space="preserve"> COLAZZA</w:t>
      </w:r>
    </w:p>
    <w:p w:rsidR="008D326E" w:rsidRPr="007A71D7" w:rsidRDefault="008D326E" w:rsidP="008D326E">
      <w:pPr>
        <w:rPr>
          <w:sz w:val="8"/>
          <w:szCs w:val="8"/>
        </w:rPr>
      </w:pPr>
    </w:p>
    <w:p w:rsidR="008D326E" w:rsidRDefault="008D326E" w:rsidP="008D326E">
      <w:pPr>
        <w:pBdr>
          <w:top w:val="dashed" w:sz="4" w:space="0" w:color="auto"/>
          <w:left w:val="dashed" w:sz="4" w:space="4" w:color="auto"/>
          <w:bottom w:val="dashed" w:sz="4" w:space="1" w:color="auto"/>
          <w:right w:val="dashed" w:sz="4" w:space="4" w:color="auto"/>
        </w:pBdr>
        <w:jc w:val="center"/>
        <w:rPr>
          <w:rFonts w:cs="Calibri"/>
          <w:b/>
          <w:sz w:val="36"/>
          <w:szCs w:val="36"/>
        </w:rPr>
      </w:pPr>
      <w:r>
        <w:rPr>
          <w:rFonts w:cs="Calibri"/>
          <w:b/>
          <w:sz w:val="36"/>
          <w:szCs w:val="36"/>
        </w:rPr>
        <w:t>PIANO TRIENNALE FABBISOGNO DI PERSONALE</w:t>
      </w:r>
    </w:p>
    <w:p w:rsidR="004E1E5E" w:rsidRPr="009A18C4" w:rsidRDefault="004E1E5E" w:rsidP="008D326E">
      <w:pPr>
        <w:pBdr>
          <w:top w:val="dashed" w:sz="4" w:space="0" w:color="auto"/>
          <w:left w:val="dashed" w:sz="4" w:space="4" w:color="auto"/>
          <w:bottom w:val="dashed" w:sz="4" w:space="1" w:color="auto"/>
          <w:right w:val="dashed" w:sz="4" w:space="4" w:color="auto"/>
        </w:pBdr>
        <w:jc w:val="center"/>
        <w:rPr>
          <w:rFonts w:cs="Calibri"/>
          <w:b/>
          <w:sz w:val="36"/>
          <w:szCs w:val="36"/>
        </w:rPr>
      </w:pPr>
      <w:r>
        <w:rPr>
          <w:rFonts w:cs="Calibri"/>
          <w:b/>
          <w:sz w:val="36"/>
          <w:szCs w:val="36"/>
        </w:rPr>
        <w:t>Estratto DUP 202</w:t>
      </w:r>
      <w:r w:rsidR="0098447A">
        <w:rPr>
          <w:rFonts w:cs="Calibri"/>
          <w:b/>
          <w:sz w:val="36"/>
          <w:szCs w:val="36"/>
        </w:rPr>
        <w:t>5</w:t>
      </w:r>
      <w:r>
        <w:rPr>
          <w:rFonts w:cs="Calibri"/>
          <w:b/>
          <w:sz w:val="36"/>
          <w:szCs w:val="36"/>
        </w:rPr>
        <w:t>/202</w:t>
      </w:r>
      <w:r w:rsidR="0098447A">
        <w:rPr>
          <w:rFonts w:cs="Calibri"/>
          <w:b/>
          <w:sz w:val="36"/>
          <w:szCs w:val="36"/>
        </w:rPr>
        <w:t>7</w:t>
      </w:r>
    </w:p>
    <w:p w:rsidR="008D326E" w:rsidRDefault="008D326E" w:rsidP="008D326E">
      <w:pPr>
        <w:spacing w:after="0" w:line="240" w:lineRule="atLeast"/>
        <w:jc w:val="both"/>
        <w:rPr>
          <w:rFonts w:cs="Calibri"/>
        </w:rPr>
      </w:pPr>
    </w:p>
    <w:p w:rsidR="008D326E" w:rsidRPr="008D326E" w:rsidRDefault="008D326E" w:rsidP="008D326E">
      <w:pPr>
        <w:spacing w:after="0" w:line="240" w:lineRule="atLeast"/>
        <w:jc w:val="both"/>
        <w:rPr>
          <w:rFonts w:cs="Calibri"/>
        </w:rPr>
      </w:pPr>
      <w:r w:rsidRPr="008D326E">
        <w:rPr>
          <w:rFonts w:cs="Calibri"/>
        </w:rPr>
        <w:t xml:space="preserve">Il Piano Triennale di Fabbisogno di Personale è lo strumento con il quale l’Amministrazione definisce e programma le assunzioni di personale, compatibilmente con le risorse finanziarie e con i vincoli normativi in materia, al fine di garantire la gestione ottimale dell’Ente ed una buona qualità dei servizi erogati. </w:t>
      </w:r>
    </w:p>
    <w:p w:rsidR="008D326E" w:rsidRPr="008D326E" w:rsidRDefault="008D326E" w:rsidP="008D326E">
      <w:pPr>
        <w:spacing w:after="0" w:line="240" w:lineRule="atLeast"/>
        <w:jc w:val="both"/>
        <w:rPr>
          <w:rFonts w:cs="Calibri"/>
        </w:rPr>
      </w:pPr>
      <w:r w:rsidRPr="008D326E">
        <w:rPr>
          <w:rFonts w:cs="Calibri"/>
        </w:rPr>
        <w:t xml:space="preserve">    </w:t>
      </w:r>
      <w:r w:rsidRPr="008D326E">
        <w:rPr>
          <w:rFonts w:cs="Calibri"/>
        </w:rPr>
        <w:tab/>
        <w:t>Il Piano illustra la consistenza del personale al 31 dell’anno precedente a quello di adozione del Piano, suddiviso per inquadramento professionale e da evidenza:</w:t>
      </w:r>
    </w:p>
    <w:p w:rsidR="008D326E" w:rsidRPr="008D326E" w:rsidRDefault="008D326E" w:rsidP="008D326E">
      <w:pPr>
        <w:numPr>
          <w:ilvl w:val="0"/>
          <w:numId w:val="3"/>
        </w:numPr>
        <w:spacing w:after="0" w:line="240" w:lineRule="atLeast"/>
        <w:jc w:val="both"/>
        <w:rPr>
          <w:rFonts w:cs="Calibri"/>
        </w:rPr>
      </w:pPr>
      <w:proofErr w:type="gramStart"/>
      <w:r w:rsidRPr="008D326E">
        <w:rPr>
          <w:rFonts w:cs="Calibri"/>
        </w:rPr>
        <w:t>della</w:t>
      </w:r>
      <w:proofErr w:type="gramEnd"/>
      <w:r w:rsidRPr="008D326E">
        <w:rPr>
          <w:rFonts w:cs="Calibri"/>
        </w:rPr>
        <w:t xml:space="preserve"> capacità </w:t>
      </w:r>
      <w:proofErr w:type="spellStart"/>
      <w:r w:rsidRPr="008D326E">
        <w:rPr>
          <w:rFonts w:cs="Calibri"/>
        </w:rPr>
        <w:t>assunzionale</w:t>
      </w:r>
      <w:proofErr w:type="spellEnd"/>
      <w:r w:rsidRPr="008D326E">
        <w:rPr>
          <w:rFonts w:cs="Calibri"/>
        </w:rPr>
        <w:t xml:space="preserve"> dell’amministrazione, calcolata sulla base dei vigenti vincoli di spesa;</w:t>
      </w:r>
    </w:p>
    <w:p w:rsidR="008D326E" w:rsidRPr="008D326E" w:rsidRDefault="008D326E" w:rsidP="008D326E">
      <w:pPr>
        <w:numPr>
          <w:ilvl w:val="0"/>
          <w:numId w:val="3"/>
        </w:numPr>
        <w:spacing w:after="0" w:line="240" w:lineRule="atLeast"/>
        <w:jc w:val="both"/>
        <w:rPr>
          <w:rFonts w:cs="Calibri"/>
        </w:rPr>
      </w:pPr>
      <w:proofErr w:type="gramStart"/>
      <w:r w:rsidRPr="008D326E">
        <w:rPr>
          <w:rFonts w:cs="Calibri"/>
        </w:rPr>
        <w:t>della</w:t>
      </w:r>
      <w:proofErr w:type="gramEnd"/>
      <w:r w:rsidRPr="008D326E">
        <w:rPr>
          <w:rFonts w:cs="Calibri"/>
        </w:rPr>
        <w:t xml:space="preserve"> programmazione delle cessazioni dal servizio e della stima della evoluzione dei fabbisogni di personale in relazione alle scelte in materia di assunzioni, operate anche in base alla diversa organizzazione dell’Ente, dei processi di esternalizzazione/internalizzazione dei servizi, …</w:t>
      </w:r>
    </w:p>
    <w:p w:rsidR="008D326E" w:rsidRPr="008D326E" w:rsidRDefault="008D326E" w:rsidP="008D326E">
      <w:pPr>
        <w:numPr>
          <w:ilvl w:val="0"/>
          <w:numId w:val="3"/>
        </w:numPr>
        <w:spacing w:after="0" w:line="240" w:lineRule="atLeast"/>
        <w:jc w:val="both"/>
        <w:rPr>
          <w:rFonts w:cs="Calibri"/>
        </w:rPr>
      </w:pPr>
      <w:proofErr w:type="gramStart"/>
      <w:r w:rsidRPr="008D326E">
        <w:rPr>
          <w:rFonts w:cs="Calibri"/>
        </w:rPr>
        <w:t>delle</w:t>
      </w:r>
      <w:proofErr w:type="gramEnd"/>
      <w:r w:rsidRPr="008D326E">
        <w:rPr>
          <w:rFonts w:cs="Calibri"/>
        </w:rPr>
        <w:t xml:space="preserve"> strategie adottate dall’Ente per la copertura del fabbisogno di personale</w:t>
      </w:r>
    </w:p>
    <w:p w:rsidR="008D326E" w:rsidRPr="008D326E" w:rsidRDefault="008D326E" w:rsidP="008D326E">
      <w:pPr>
        <w:numPr>
          <w:ilvl w:val="0"/>
          <w:numId w:val="3"/>
        </w:numPr>
        <w:spacing w:after="0" w:line="240" w:lineRule="atLeast"/>
        <w:jc w:val="both"/>
        <w:rPr>
          <w:rFonts w:cs="Calibri"/>
        </w:rPr>
      </w:pPr>
      <w:proofErr w:type="gramStart"/>
      <w:r w:rsidRPr="008D326E">
        <w:rPr>
          <w:rFonts w:cs="Calibri"/>
        </w:rPr>
        <w:t>della</w:t>
      </w:r>
      <w:proofErr w:type="gramEnd"/>
      <w:r w:rsidRPr="008D326E">
        <w:rPr>
          <w:rFonts w:cs="Calibri"/>
        </w:rPr>
        <w:t xml:space="preserve"> situazione di soprannumero o di eccedenze di personale</w:t>
      </w:r>
    </w:p>
    <w:p w:rsidR="008D326E" w:rsidRPr="008D326E" w:rsidRDefault="008D326E" w:rsidP="008D326E">
      <w:pPr>
        <w:spacing w:after="0" w:line="240" w:lineRule="atLeast"/>
      </w:pPr>
    </w:p>
    <w:p w:rsidR="00900ACA" w:rsidRPr="008D326E" w:rsidRDefault="00900ACA" w:rsidP="008D326E">
      <w:pPr>
        <w:widowControl w:val="0"/>
        <w:spacing w:after="0" w:line="240" w:lineRule="atLeast"/>
        <w:ind w:left="112"/>
        <w:jc w:val="both"/>
        <w:rPr>
          <w:rFonts w:asciiTheme="minorHAnsi" w:hAnsiTheme="minorHAnsi" w:cstheme="minorHAnsi"/>
        </w:rPr>
      </w:pPr>
      <w:r w:rsidRPr="008D326E">
        <w:rPr>
          <w:rFonts w:asciiTheme="minorHAnsi" w:hAnsiTheme="minorHAnsi" w:cstheme="minorHAnsi"/>
          <w:spacing w:val="-2"/>
        </w:rPr>
        <w:t>In</w:t>
      </w:r>
      <w:r w:rsidRPr="008D326E">
        <w:rPr>
          <w:rFonts w:asciiTheme="minorHAnsi" w:hAnsiTheme="minorHAnsi" w:cstheme="minorHAnsi"/>
        </w:rPr>
        <w:t xml:space="preserve"> merito </w:t>
      </w:r>
      <w:r w:rsidRPr="008D326E">
        <w:rPr>
          <w:rFonts w:asciiTheme="minorHAnsi" w:hAnsiTheme="minorHAnsi" w:cstheme="minorHAnsi"/>
          <w:spacing w:val="-1"/>
        </w:rPr>
        <w:t>alla programmazione</w:t>
      </w:r>
      <w:r w:rsidRPr="008D326E">
        <w:rPr>
          <w:rFonts w:asciiTheme="minorHAnsi" w:hAnsiTheme="minorHAnsi" w:cstheme="minorHAnsi"/>
        </w:rPr>
        <w:t xml:space="preserve"> </w:t>
      </w:r>
      <w:r w:rsidRPr="008D326E">
        <w:rPr>
          <w:rFonts w:asciiTheme="minorHAnsi" w:hAnsiTheme="minorHAnsi" w:cstheme="minorHAnsi"/>
          <w:spacing w:val="-1"/>
        </w:rPr>
        <w:t>del</w:t>
      </w:r>
      <w:r w:rsidRPr="008D326E">
        <w:rPr>
          <w:rFonts w:asciiTheme="minorHAnsi" w:hAnsiTheme="minorHAnsi" w:cstheme="minorHAnsi"/>
        </w:rPr>
        <w:t xml:space="preserve"> </w:t>
      </w:r>
      <w:r w:rsidRPr="008D326E">
        <w:rPr>
          <w:rFonts w:asciiTheme="minorHAnsi" w:hAnsiTheme="minorHAnsi" w:cstheme="minorHAnsi"/>
          <w:spacing w:val="-1"/>
        </w:rPr>
        <w:t>personale, valutato i</w:t>
      </w:r>
      <w:r w:rsidRPr="008D326E">
        <w:rPr>
          <w:rFonts w:asciiTheme="minorHAnsi" w:hAnsiTheme="minorHAnsi" w:cstheme="minorHAnsi"/>
        </w:rPr>
        <w:t>l trend storico della spesa, e considerato l’attuale composizione dell’organico si evidenzia la situazione attuale dell’ente e le valutazioni dell’amministrazione per la p</w:t>
      </w:r>
      <w:r w:rsidR="0098447A">
        <w:rPr>
          <w:rFonts w:asciiTheme="minorHAnsi" w:hAnsiTheme="minorHAnsi" w:cstheme="minorHAnsi"/>
        </w:rPr>
        <w:t>redisposizione del bilancio 2025</w:t>
      </w:r>
      <w:r w:rsidRPr="008D326E">
        <w:rPr>
          <w:rFonts w:asciiTheme="minorHAnsi" w:hAnsiTheme="minorHAnsi" w:cstheme="minorHAnsi"/>
        </w:rPr>
        <w:t>/202</w:t>
      </w:r>
      <w:r w:rsidR="0098447A">
        <w:rPr>
          <w:rFonts w:asciiTheme="minorHAnsi" w:hAnsiTheme="minorHAnsi" w:cstheme="minorHAnsi"/>
        </w:rPr>
        <w:t>7</w:t>
      </w:r>
      <w:r w:rsidRPr="008D326E">
        <w:rPr>
          <w:rFonts w:asciiTheme="minorHAnsi" w:hAnsiTheme="minorHAnsi" w:cstheme="minorHAnsi"/>
        </w:rPr>
        <w:t>:</w:t>
      </w:r>
    </w:p>
    <w:p w:rsidR="00900ACA" w:rsidRPr="008D326E" w:rsidRDefault="00900ACA" w:rsidP="008D326E">
      <w:pPr>
        <w:numPr>
          <w:ilvl w:val="0"/>
          <w:numId w:val="1"/>
        </w:numPr>
        <w:spacing w:after="0" w:line="240" w:lineRule="atLeast"/>
        <w:contextualSpacing/>
        <w:jc w:val="both"/>
        <w:rPr>
          <w:rFonts w:asciiTheme="minorHAnsi" w:hAnsiTheme="minorHAnsi" w:cstheme="minorHAnsi"/>
        </w:rPr>
      </w:pPr>
      <w:r w:rsidRPr="008D326E">
        <w:rPr>
          <w:rFonts w:asciiTheme="minorHAnsi" w:hAnsiTheme="minorHAnsi" w:cstheme="minorHAnsi"/>
        </w:rPr>
        <w:t>Per il triennio 202</w:t>
      </w:r>
      <w:r w:rsidR="0098447A">
        <w:rPr>
          <w:rFonts w:asciiTheme="minorHAnsi" w:hAnsiTheme="minorHAnsi" w:cstheme="minorHAnsi"/>
        </w:rPr>
        <w:t>5</w:t>
      </w:r>
      <w:r w:rsidRPr="008D326E">
        <w:rPr>
          <w:rFonts w:asciiTheme="minorHAnsi" w:hAnsiTheme="minorHAnsi" w:cstheme="minorHAnsi"/>
        </w:rPr>
        <w:t>/202</w:t>
      </w:r>
      <w:r w:rsidR="0098447A">
        <w:rPr>
          <w:rFonts w:asciiTheme="minorHAnsi" w:hAnsiTheme="minorHAnsi" w:cstheme="minorHAnsi"/>
        </w:rPr>
        <w:t>7</w:t>
      </w:r>
      <w:r w:rsidRPr="008D326E">
        <w:rPr>
          <w:rFonts w:asciiTheme="minorHAnsi" w:hAnsiTheme="minorHAnsi" w:cstheme="minorHAnsi"/>
        </w:rPr>
        <w:t xml:space="preserve"> non sono previste assunzioni a tempo indeterminato</w:t>
      </w:r>
    </w:p>
    <w:p w:rsidR="00900ACA" w:rsidRPr="008D326E" w:rsidRDefault="00900ACA" w:rsidP="008D326E">
      <w:pPr>
        <w:numPr>
          <w:ilvl w:val="0"/>
          <w:numId w:val="1"/>
        </w:numPr>
        <w:spacing w:after="0" w:line="240" w:lineRule="atLeast"/>
        <w:contextualSpacing/>
        <w:jc w:val="both"/>
        <w:rPr>
          <w:rFonts w:asciiTheme="minorHAnsi" w:hAnsiTheme="minorHAnsi" w:cstheme="minorHAnsi"/>
        </w:rPr>
      </w:pPr>
      <w:r w:rsidRPr="008D326E">
        <w:rPr>
          <w:rFonts w:asciiTheme="minorHAnsi" w:hAnsiTheme="minorHAnsi" w:cstheme="minorHAnsi"/>
        </w:rPr>
        <w:t>Nell’ottica di proporre ed incentivare le convenzioni con altri Enti si conferma la volontà di mantenimento di quella in essere per i servizi sociali mentre sono in fase di valutazione eventuali convenzione per altri servizi.</w:t>
      </w:r>
    </w:p>
    <w:p w:rsidR="00900ACA" w:rsidRPr="008D326E" w:rsidRDefault="00900ACA" w:rsidP="008D326E">
      <w:pPr>
        <w:numPr>
          <w:ilvl w:val="0"/>
          <w:numId w:val="1"/>
        </w:numPr>
        <w:spacing w:after="0" w:line="240" w:lineRule="atLeast"/>
        <w:contextualSpacing/>
        <w:jc w:val="both"/>
        <w:rPr>
          <w:rFonts w:asciiTheme="minorHAnsi" w:hAnsiTheme="minorHAnsi" w:cstheme="minorHAnsi"/>
        </w:rPr>
      </w:pPr>
      <w:r w:rsidRPr="008D326E">
        <w:rPr>
          <w:rFonts w:asciiTheme="minorHAnsi" w:hAnsiTheme="minorHAnsi" w:cstheme="minorHAnsi"/>
        </w:rPr>
        <w:t>Stante i contributi erogati per opere pubbliche finanziate con fondi PNRR, e vista la complessità della gestione degli adempimenti legati a tali fin</w:t>
      </w:r>
      <w:r w:rsidR="0098447A">
        <w:rPr>
          <w:rFonts w:asciiTheme="minorHAnsi" w:hAnsiTheme="minorHAnsi" w:cstheme="minorHAnsi"/>
        </w:rPr>
        <w:t>anziamenti, si intende prorogare e/o integrare</w:t>
      </w:r>
      <w:r w:rsidRPr="008D326E">
        <w:rPr>
          <w:rFonts w:asciiTheme="minorHAnsi" w:hAnsiTheme="minorHAnsi" w:cstheme="minorHAnsi"/>
        </w:rPr>
        <w:t xml:space="preserve"> per l’anno 202</w:t>
      </w:r>
      <w:r w:rsidR="0098447A">
        <w:rPr>
          <w:rFonts w:asciiTheme="minorHAnsi" w:hAnsiTheme="minorHAnsi" w:cstheme="minorHAnsi"/>
        </w:rPr>
        <w:t xml:space="preserve">5 gli </w:t>
      </w:r>
      <w:r w:rsidRPr="008D326E">
        <w:rPr>
          <w:rFonts w:asciiTheme="minorHAnsi" w:hAnsiTheme="minorHAnsi" w:cstheme="minorHAnsi"/>
        </w:rPr>
        <w:t>incaric</w:t>
      </w:r>
      <w:r w:rsidR="0098447A">
        <w:rPr>
          <w:rFonts w:asciiTheme="minorHAnsi" w:hAnsiTheme="minorHAnsi" w:cstheme="minorHAnsi"/>
        </w:rPr>
        <w:t>hi</w:t>
      </w:r>
      <w:r w:rsidRPr="008D326E">
        <w:rPr>
          <w:rFonts w:asciiTheme="minorHAnsi" w:hAnsiTheme="minorHAnsi" w:cstheme="minorHAnsi"/>
        </w:rPr>
        <w:t xml:space="preserve"> al personale a supporto dell’ufficio tecnico.</w:t>
      </w:r>
    </w:p>
    <w:p w:rsidR="00900ACA" w:rsidRPr="008D326E" w:rsidRDefault="00900ACA" w:rsidP="008D326E">
      <w:pPr>
        <w:numPr>
          <w:ilvl w:val="0"/>
          <w:numId w:val="1"/>
        </w:numPr>
        <w:spacing w:after="0" w:line="240" w:lineRule="atLeast"/>
        <w:jc w:val="both"/>
        <w:rPr>
          <w:rFonts w:asciiTheme="minorHAnsi" w:hAnsiTheme="minorHAnsi" w:cstheme="minorHAnsi"/>
          <w:spacing w:val="-1"/>
        </w:rPr>
      </w:pPr>
      <w:r w:rsidRPr="008D326E">
        <w:rPr>
          <w:rFonts w:asciiTheme="minorHAnsi" w:hAnsiTheme="minorHAnsi" w:cstheme="minorHAnsi"/>
        </w:rPr>
        <w:t>Essendo necessaria una costante verifica ed un preciso controllo dei tributi locali l’amministrazione intende mantene</w:t>
      </w:r>
      <w:r w:rsidR="0098447A">
        <w:rPr>
          <w:rFonts w:asciiTheme="minorHAnsi" w:hAnsiTheme="minorHAnsi" w:cstheme="minorHAnsi"/>
        </w:rPr>
        <w:t xml:space="preserve">re la collaborazione a scavalco, anche se ridotta, </w:t>
      </w:r>
      <w:r w:rsidRPr="008D326E">
        <w:rPr>
          <w:rFonts w:asciiTheme="minorHAnsi" w:hAnsiTheme="minorHAnsi" w:cstheme="minorHAnsi"/>
        </w:rPr>
        <w:t>con personale di altra amministrazione relativamente all’ufficio tributi anche per l’anno 202</w:t>
      </w:r>
      <w:r w:rsidR="0098447A">
        <w:rPr>
          <w:rFonts w:asciiTheme="minorHAnsi" w:hAnsiTheme="minorHAnsi" w:cstheme="minorHAnsi"/>
        </w:rPr>
        <w:t>5</w:t>
      </w:r>
      <w:r w:rsidRPr="008D326E">
        <w:rPr>
          <w:rFonts w:asciiTheme="minorHAnsi" w:hAnsiTheme="minorHAnsi" w:cstheme="minorHAnsi"/>
        </w:rPr>
        <w:t xml:space="preserve"> al fine di completare quanto il lavoro di accertamento IMU, TARI e TASI in essere ai sensi dell’art. 1 comma 557 L. 311/2004.</w:t>
      </w:r>
    </w:p>
    <w:p w:rsidR="00900ACA" w:rsidRPr="008D326E" w:rsidRDefault="00900ACA" w:rsidP="008D326E">
      <w:pPr>
        <w:spacing w:after="0" w:line="240" w:lineRule="atLeast"/>
        <w:contextualSpacing/>
        <w:jc w:val="both"/>
        <w:rPr>
          <w:rFonts w:asciiTheme="minorHAnsi" w:hAnsiTheme="minorHAnsi" w:cstheme="minorHAnsi"/>
        </w:rPr>
      </w:pPr>
    </w:p>
    <w:p w:rsidR="00900ACA" w:rsidRPr="00553799" w:rsidRDefault="00900ACA" w:rsidP="008D326E">
      <w:pPr>
        <w:spacing w:after="0" w:line="240" w:lineRule="atLeast"/>
        <w:contextualSpacing/>
        <w:jc w:val="both"/>
        <w:rPr>
          <w:rFonts w:asciiTheme="minorHAnsi" w:hAnsiTheme="minorHAnsi" w:cstheme="minorHAnsi"/>
        </w:rPr>
      </w:pPr>
      <w:r w:rsidRPr="00553799">
        <w:rPr>
          <w:rFonts w:asciiTheme="minorHAnsi" w:hAnsiTheme="minorHAnsi" w:cstheme="minorHAnsi"/>
        </w:rPr>
        <w:t>Il fabbisogno di personale nel triennio 202</w:t>
      </w:r>
      <w:r w:rsidR="0098447A">
        <w:rPr>
          <w:rFonts w:asciiTheme="minorHAnsi" w:hAnsiTheme="minorHAnsi" w:cstheme="minorHAnsi"/>
        </w:rPr>
        <w:t>5</w:t>
      </w:r>
      <w:r w:rsidRPr="00553799">
        <w:rPr>
          <w:rFonts w:asciiTheme="minorHAnsi" w:hAnsiTheme="minorHAnsi" w:cstheme="minorHAnsi"/>
        </w:rPr>
        <w:t>-202</w:t>
      </w:r>
      <w:r w:rsidR="0098447A">
        <w:rPr>
          <w:rFonts w:asciiTheme="minorHAnsi" w:hAnsiTheme="minorHAnsi" w:cstheme="minorHAnsi"/>
        </w:rPr>
        <w:t>7</w:t>
      </w:r>
      <w:r w:rsidRPr="00553799">
        <w:rPr>
          <w:rFonts w:asciiTheme="minorHAnsi" w:hAnsiTheme="minorHAnsi" w:cstheme="minorHAnsi"/>
        </w:rPr>
        <w:t xml:space="preserve">, tiene conto dei vincoli disposti per le assunzioni e per la spesa di personale e di quanto previsto dal Decreto Interministeriale del 17 marzo 2020 relativo alle “Misure per la definizione delle capacità </w:t>
      </w:r>
      <w:proofErr w:type="spellStart"/>
      <w:r w:rsidRPr="00553799">
        <w:rPr>
          <w:rFonts w:asciiTheme="minorHAnsi" w:hAnsiTheme="minorHAnsi" w:cstheme="minorHAnsi"/>
        </w:rPr>
        <w:t>assunzionali</w:t>
      </w:r>
      <w:proofErr w:type="spellEnd"/>
      <w:r w:rsidRPr="00553799">
        <w:rPr>
          <w:rFonts w:asciiTheme="minorHAnsi" w:hAnsiTheme="minorHAnsi" w:cstheme="minorHAnsi"/>
        </w:rPr>
        <w:t xml:space="preserve"> di personale a tempo indeterminato dei comuni” La previsione triennale è coerente con le esigenze finanziarie espresse nell’atto di programmazione dei fabbisogni.</w:t>
      </w:r>
    </w:p>
    <w:p w:rsidR="00900ACA" w:rsidRPr="00553799" w:rsidRDefault="00900ACA" w:rsidP="008D326E">
      <w:pPr>
        <w:widowControl w:val="0"/>
        <w:spacing w:after="0" w:line="240" w:lineRule="atLeast"/>
        <w:jc w:val="both"/>
        <w:outlineLvl w:val="2"/>
        <w:rPr>
          <w:rFonts w:asciiTheme="minorHAnsi" w:hAnsiTheme="minorHAnsi" w:cstheme="minorHAnsi"/>
        </w:rPr>
      </w:pPr>
      <w:r w:rsidRPr="00553799">
        <w:rPr>
          <w:rFonts w:asciiTheme="minorHAnsi" w:hAnsiTheme="minorHAnsi" w:cstheme="minorHAnsi"/>
          <w:bCs/>
        </w:rPr>
        <w:t xml:space="preserve">L’Ente comunque ha valutato </w:t>
      </w:r>
      <w:r w:rsidRPr="00553799">
        <w:rPr>
          <w:rFonts w:asciiTheme="minorHAnsi" w:hAnsiTheme="minorHAnsi" w:cstheme="minorHAnsi"/>
        </w:rPr>
        <w:t>di adottare il programma dei fabbisogni per il triennio 202</w:t>
      </w:r>
      <w:r w:rsidR="0098447A">
        <w:rPr>
          <w:rFonts w:asciiTheme="minorHAnsi" w:hAnsiTheme="minorHAnsi" w:cstheme="minorHAnsi"/>
        </w:rPr>
        <w:t>5</w:t>
      </w:r>
      <w:r w:rsidRPr="00553799">
        <w:rPr>
          <w:rFonts w:asciiTheme="minorHAnsi" w:hAnsiTheme="minorHAnsi" w:cstheme="minorHAnsi"/>
        </w:rPr>
        <w:t>-202</w:t>
      </w:r>
      <w:r w:rsidR="0098447A">
        <w:rPr>
          <w:rFonts w:asciiTheme="minorHAnsi" w:hAnsiTheme="minorHAnsi" w:cstheme="minorHAnsi"/>
        </w:rPr>
        <w:t>7</w:t>
      </w:r>
      <w:r w:rsidRPr="00553799">
        <w:rPr>
          <w:rFonts w:asciiTheme="minorHAnsi" w:hAnsiTheme="minorHAnsi" w:cstheme="minorHAnsi"/>
        </w:rPr>
        <w:t xml:space="preserve"> secondo il seguente programma di assunzioni ovvero:</w:t>
      </w:r>
    </w:p>
    <w:p w:rsidR="00900ACA" w:rsidRPr="00553799" w:rsidRDefault="00900ACA" w:rsidP="008D326E">
      <w:pPr>
        <w:widowControl w:val="0"/>
        <w:numPr>
          <w:ilvl w:val="0"/>
          <w:numId w:val="1"/>
        </w:numPr>
        <w:spacing w:after="0" w:line="240" w:lineRule="atLeast"/>
        <w:jc w:val="both"/>
        <w:outlineLvl w:val="2"/>
        <w:rPr>
          <w:rFonts w:asciiTheme="minorHAnsi" w:hAnsiTheme="minorHAnsi" w:cstheme="minorHAnsi"/>
          <w:lang w:eastAsia="it-IT"/>
        </w:rPr>
      </w:pPr>
      <w:r w:rsidRPr="00553799">
        <w:rPr>
          <w:rFonts w:asciiTheme="minorHAnsi" w:hAnsiTheme="minorHAnsi" w:cstheme="minorHAnsi"/>
        </w:rPr>
        <w:t xml:space="preserve"> </w:t>
      </w:r>
      <w:proofErr w:type="gramStart"/>
      <w:r w:rsidRPr="00553799">
        <w:rPr>
          <w:rFonts w:asciiTheme="minorHAnsi" w:hAnsiTheme="minorHAnsi" w:cstheme="minorHAnsi"/>
        </w:rPr>
        <w:t>nessuna</w:t>
      </w:r>
      <w:proofErr w:type="gramEnd"/>
      <w:r w:rsidRPr="00553799">
        <w:rPr>
          <w:rFonts w:asciiTheme="minorHAnsi" w:hAnsiTheme="minorHAnsi" w:cstheme="minorHAnsi"/>
        </w:rPr>
        <w:t xml:space="preserve"> assunzione a tempo indeterminato</w:t>
      </w:r>
    </w:p>
    <w:p w:rsidR="00900ACA" w:rsidRPr="00553799" w:rsidRDefault="0098447A" w:rsidP="008D326E">
      <w:pPr>
        <w:widowControl w:val="0"/>
        <w:numPr>
          <w:ilvl w:val="0"/>
          <w:numId w:val="1"/>
        </w:numPr>
        <w:spacing w:after="0" w:line="240" w:lineRule="atLeast"/>
        <w:jc w:val="both"/>
        <w:outlineLvl w:val="2"/>
        <w:rPr>
          <w:rFonts w:asciiTheme="minorHAnsi" w:hAnsiTheme="minorHAnsi" w:cstheme="minorHAnsi"/>
          <w:lang w:eastAsia="it-IT"/>
        </w:rPr>
      </w:pPr>
      <w:r>
        <w:rPr>
          <w:rFonts w:asciiTheme="minorHAnsi" w:hAnsiTheme="minorHAnsi" w:cstheme="minorHAnsi"/>
        </w:rPr>
        <w:t xml:space="preserve"> </w:t>
      </w:r>
      <w:proofErr w:type="gramStart"/>
      <w:r w:rsidR="00900ACA" w:rsidRPr="00553799">
        <w:rPr>
          <w:rFonts w:asciiTheme="minorHAnsi" w:hAnsiTheme="minorHAnsi" w:cstheme="minorHAnsi"/>
        </w:rPr>
        <w:t>modifica</w:t>
      </w:r>
      <w:proofErr w:type="gramEnd"/>
      <w:r w:rsidR="00900ACA" w:rsidRPr="00553799">
        <w:rPr>
          <w:rFonts w:asciiTheme="minorHAnsi" w:hAnsiTheme="minorHAnsi" w:cstheme="minorHAnsi"/>
        </w:rPr>
        <w:t xml:space="preserve"> di affidamento per il servizio di polizia locale e ufficio tecnico.</w:t>
      </w:r>
    </w:p>
    <w:p w:rsidR="00900ACA" w:rsidRPr="00553799" w:rsidRDefault="00900ACA" w:rsidP="008D326E">
      <w:pPr>
        <w:spacing w:after="0" w:line="240" w:lineRule="atLeast"/>
        <w:jc w:val="both"/>
        <w:rPr>
          <w:rFonts w:asciiTheme="minorHAnsi" w:hAnsiTheme="minorHAnsi" w:cstheme="minorHAnsi"/>
        </w:rPr>
      </w:pPr>
    </w:p>
    <w:p w:rsidR="00900ACA" w:rsidRPr="00553799" w:rsidRDefault="00900ACA" w:rsidP="008D326E">
      <w:pPr>
        <w:spacing w:after="0" w:line="240" w:lineRule="atLeast"/>
        <w:jc w:val="both"/>
        <w:rPr>
          <w:rFonts w:asciiTheme="minorHAnsi" w:hAnsiTheme="minorHAnsi" w:cstheme="minorHAnsi"/>
        </w:rPr>
      </w:pPr>
      <w:r w:rsidRPr="00553799">
        <w:rPr>
          <w:rFonts w:asciiTheme="minorHAnsi" w:hAnsiTheme="minorHAnsi" w:cstheme="minorHAnsi"/>
        </w:rPr>
        <w:t>Considerato che:</w:t>
      </w:r>
    </w:p>
    <w:p w:rsidR="00900ACA" w:rsidRPr="00553799" w:rsidRDefault="00900ACA" w:rsidP="008D326E">
      <w:pPr>
        <w:numPr>
          <w:ilvl w:val="0"/>
          <w:numId w:val="2"/>
        </w:numPr>
        <w:spacing w:after="0" w:line="240" w:lineRule="atLeast"/>
        <w:jc w:val="both"/>
        <w:rPr>
          <w:rFonts w:asciiTheme="minorHAnsi" w:hAnsiTheme="minorHAnsi" w:cstheme="minorHAnsi"/>
        </w:rPr>
      </w:pPr>
      <w:proofErr w:type="gramStart"/>
      <w:r w:rsidRPr="00553799">
        <w:rPr>
          <w:rFonts w:asciiTheme="minorHAnsi" w:hAnsiTheme="minorHAnsi" w:cstheme="minorHAnsi"/>
        </w:rPr>
        <w:t>si</w:t>
      </w:r>
      <w:proofErr w:type="gramEnd"/>
      <w:r w:rsidRPr="00553799">
        <w:rPr>
          <w:rFonts w:asciiTheme="minorHAnsi" w:hAnsiTheme="minorHAnsi" w:cstheme="minorHAnsi"/>
        </w:rPr>
        <w:t xml:space="preserve"> potrà procedere ad assunzione a tempo determinato nel rispetto della normativa specifica ( art. 9, comma 28 del D.L. 78 del 2010 e </w:t>
      </w:r>
      <w:proofErr w:type="spellStart"/>
      <w:r w:rsidRPr="00553799">
        <w:rPr>
          <w:rFonts w:asciiTheme="minorHAnsi" w:hAnsiTheme="minorHAnsi" w:cstheme="minorHAnsi"/>
        </w:rPr>
        <w:t>smi</w:t>
      </w:r>
      <w:proofErr w:type="spellEnd"/>
      <w:r w:rsidRPr="00553799">
        <w:rPr>
          <w:rFonts w:asciiTheme="minorHAnsi" w:hAnsiTheme="minorHAnsi" w:cstheme="minorHAnsi"/>
        </w:rPr>
        <w:t xml:space="preserve">) </w:t>
      </w:r>
    </w:p>
    <w:p w:rsidR="00900ACA" w:rsidRPr="00553799" w:rsidRDefault="00900ACA" w:rsidP="008D326E">
      <w:pPr>
        <w:numPr>
          <w:ilvl w:val="0"/>
          <w:numId w:val="2"/>
        </w:numPr>
        <w:autoSpaceDE w:val="0"/>
        <w:autoSpaceDN w:val="0"/>
        <w:adjustRightInd w:val="0"/>
        <w:spacing w:after="0" w:line="240" w:lineRule="atLeast"/>
        <w:jc w:val="both"/>
        <w:rPr>
          <w:rFonts w:asciiTheme="minorHAnsi" w:hAnsiTheme="minorHAnsi" w:cstheme="minorHAnsi"/>
          <w:color w:val="000000"/>
        </w:rPr>
      </w:pPr>
      <w:proofErr w:type="gramStart"/>
      <w:r w:rsidRPr="00553799">
        <w:rPr>
          <w:rFonts w:asciiTheme="minorHAnsi" w:hAnsiTheme="minorHAnsi" w:cstheme="minorHAnsi"/>
          <w:color w:val="000000"/>
        </w:rPr>
        <w:lastRenderedPageBreak/>
        <w:t>è</w:t>
      </w:r>
      <w:proofErr w:type="gramEnd"/>
      <w:r w:rsidRPr="00553799">
        <w:rPr>
          <w:rFonts w:asciiTheme="minorHAnsi" w:hAnsiTheme="minorHAnsi" w:cstheme="minorHAnsi"/>
          <w:color w:val="000000"/>
        </w:rPr>
        <w:t xml:space="preserve"> rispettato il limite di spesa per il personale ovvero il divieto di superare le spese di personale sostenute nell’anno 2008, al netto degli oneri dei rinnovi contrattuali (comma 562, Legge n. 296/2006); </w:t>
      </w:r>
    </w:p>
    <w:p w:rsidR="00900ACA" w:rsidRPr="00553799" w:rsidRDefault="00900ACA" w:rsidP="008D326E">
      <w:pPr>
        <w:numPr>
          <w:ilvl w:val="0"/>
          <w:numId w:val="2"/>
        </w:numPr>
        <w:autoSpaceDE w:val="0"/>
        <w:autoSpaceDN w:val="0"/>
        <w:adjustRightInd w:val="0"/>
        <w:spacing w:after="0" w:line="240" w:lineRule="atLeast"/>
        <w:jc w:val="both"/>
        <w:rPr>
          <w:rFonts w:asciiTheme="minorHAnsi" w:hAnsiTheme="minorHAnsi" w:cstheme="minorHAnsi"/>
          <w:color w:val="000000"/>
        </w:rPr>
      </w:pPr>
      <w:proofErr w:type="gramStart"/>
      <w:r w:rsidRPr="00553799">
        <w:rPr>
          <w:rFonts w:asciiTheme="minorHAnsi" w:hAnsiTheme="minorHAnsi" w:cstheme="minorHAnsi"/>
          <w:color w:val="000000"/>
        </w:rPr>
        <w:t>è</w:t>
      </w:r>
      <w:proofErr w:type="gramEnd"/>
      <w:r w:rsidRPr="00553799">
        <w:rPr>
          <w:rFonts w:asciiTheme="minorHAnsi" w:hAnsiTheme="minorHAnsi" w:cstheme="minorHAnsi"/>
          <w:color w:val="000000"/>
        </w:rPr>
        <w:t xml:space="preserve"> rispettato il limite di spesa per il lavoro flessibile: divieto di superare la spesa impegnata per l’anno 2009  ovvero euro 22.000,00</w:t>
      </w:r>
    </w:p>
    <w:p w:rsidR="00900ACA" w:rsidRPr="00553799" w:rsidRDefault="00900ACA" w:rsidP="008D326E">
      <w:pPr>
        <w:numPr>
          <w:ilvl w:val="0"/>
          <w:numId w:val="2"/>
        </w:numPr>
        <w:autoSpaceDE w:val="0"/>
        <w:autoSpaceDN w:val="0"/>
        <w:adjustRightInd w:val="0"/>
        <w:spacing w:after="0" w:line="240" w:lineRule="atLeast"/>
        <w:jc w:val="both"/>
        <w:rPr>
          <w:rFonts w:asciiTheme="minorHAnsi" w:hAnsiTheme="minorHAnsi" w:cstheme="minorHAnsi"/>
          <w:color w:val="000000"/>
        </w:rPr>
      </w:pPr>
      <w:proofErr w:type="gramStart"/>
      <w:r w:rsidRPr="00553799">
        <w:rPr>
          <w:rFonts w:asciiTheme="minorHAnsi" w:hAnsiTheme="minorHAnsi" w:cstheme="minorHAnsi"/>
        </w:rPr>
        <w:t>il</w:t>
      </w:r>
      <w:proofErr w:type="gramEnd"/>
      <w:r w:rsidRPr="00553799">
        <w:rPr>
          <w:rFonts w:asciiTheme="minorHAnsi" w:hAnsiTheme="minorHAnsi" w:cstheme="minorHAnsi"/>
        </w:rPr>
        <w:t xml:space="preserve"> parametro di virtuosità finanziaria previsto dal DL 34/2019 e dal DM 17 marzo 2020 si colloca per l’anno 2024 è al di sotto del primo “valore soglia” di spese di personale su entrate correnti</w:t>
      </w:r>
    </w:p>
    <w:p w:rsidR="00900ACA" w:rsidRPr="00553799" w:rsidRDefault="00900ACA" w:rsidP="00900ACA">
      <w:pPr>
        <w:autoSpaceDE w:val="0"/>
        <w:autoSpaceDN w:val="0"/>
        <w:adjustRightInd w:val="0"/>
        <w:spacing w:after="0" w:line="240" w:lineRule="atLeast"/>
        <w:jc w:val="both"/>
        <w:rPr>
          <w:rFonts w:asciiTheme="minorHAnsi" w:hAnsiTheme="minorHAnsi" w:cstheme="minorHAnsi"/>
          <w:color w:val="000000"/>
        </w:rPr>
      </w:pPr>
    </w:p>
    <w:tbl>
      <w:tblPr>
        <w:tblW w:w="9708" w:type="dxa"/>
        <w:tblInd w:w="70" w:type="dxa"/>
        <w:tblCellMar>
          <w:left w:w="70" w:type="dxa"/>
          <w:right w:w="70" w:type="dxa"/>
        </w:tblCellMar>
        <w:tblLook w:val="04A0" w:firstRow="1" w:lastRow="0" w:firstColumn="1" w:lastColumn="0" w:noHBand="0" w:noVBand="1"/>
      </w:tblPr>
      <w:tblGrid>
        <w:gridCol w:w="3236"/>
        <w:gridCol w:w="3236"/>
        <w:gridCol w:w="3236"/>
      </w:tblGrid>
      <w:tr w:rsidR="00900ACA" w:rsidRPr="00553799" w:rsidTr="005C014A">
        <w:trPr>
          <w:trHeight w:val="300"/>
        </w:trPr>
        <w:tc>
          <w:tcPr>
            <w:tcW w:w="3236" w:type="dxa"/>
            <w:tcBorders>
              <w:top w:val="single" w:sz="8" w:space="0" w:color="auto"/>
              <w:left w:val="single" w:sz="8" w:space="0" w:color="auto"/>
              <w:bottom w:val="single" w:sz="4" w:space="0" w:color="auto"/>
              <w:right w:val="single" w:sz="4" w:space="0" w:color="auto"/>
            </w:tcBorders>
            <w:noWrap/>
            <w:vAlign w:val="bottom"/>
            <w:hideMark/>
          </w:tcPr>
          <w:p w:rsidR="00900ACA" w:rsidRPr="00553799" w:rsidRDefault="0098447A" w:rsidP="005C014A">
            <w:pPr>
              <w:spacing w:after="0" w:line="240" w:lineRule="auto"/>
              <w:jc w:val="center"/>
              <w:rPr>
                <w:rFonts w:asciiTheme="minorHAnsi" w:hAnsiTheme="minorHAnsi" w:cstheme="minorHAnsi"/>
                <w:b/>
                <w:bCs/>
                <w:color w:val="000000"/>
                <w:lang w:eastAsia="it-IT"/>
              </w:rPr>
            </w:pPr>
            <w:r>
              <w:rPr>
                <w:rFonts w:asciiTheme="minorHAnsi" w:hAnsiTheme="minorHAnsi" w:cstheme="minorHAnsi"/>
                <w:b/>
                <w:bCs/>
                <w:color w:val="000000"/>
                <w:lang w:eastAsia="it-IT"/>
              </w:rPr>
              <w:t>SCAVALCO 2025</w:t>
            </w:r>
          </w:p>
        </w:tc>
        <w:tc>
          <w:tcPr>
            <w:tcW w:w="3236" w:type="dxa"/>
            <w:tcBorders>
              <w:top w:val="single" w:sz="8" w:space="0" w:color="auto"/>
              <w:left w:val="nil"/>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 </w:t>
            </w:r>
          </w:p>
        </w:tc>
        <w:tc>
          <w:tcPr>
            <w:tcW w:w="3236" w:type="dxa"/>
            <w:tcBorders>
              <w:top w:val="single" w:sz="8" w:space="0" w:color="auto"/>
              <w:left w:val="nil"/>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 </w:t>
            </w:r>
          </w:p>
        </w:tc>
      </w:tr>
      <w:tr w:rsidR="00900ACA" w:rsidRPr="00553799" w:rsidTr="005C014A">
        <w:trPr>
          <w:trHeight w:val="315"/>
        </w:trPr>
        <w:tc>
          <w:tcPr>
            <w:tcW w:w="3236" w:type="dxa"/>
            <w:tcBorders>
              <w:top w:val="nil"/>
              <w:left w:val="single" w:sz="8" w:space="0" w:color="auto"/>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 </w:t>
            </w:r>
          </w:p>
        </w:tc>
        <w:tc>
          <w:tcPr>
            <w:tcW w:w="3236" w:type="dxa"/>
            <w:tcBorders>
              <w:top w:val="nil"/>
              <w:left w:val="nil"/>
              <w:bottom w:val="single" w:sz="8"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INCARICO</w:t>
            </w:r>
          </w:p>
        </w:tc>
        <w:tc>
          <w:tcPr>
            <w:tcW w:w="3236" w:type="dxa"/>
            <w:tcBorders>
              <w:top w:val="nil"/>
              <w:left w:val="nil"/>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COMPENSO </w:t>
            </w:r>
          </w:p>
        </w:tc>
      </w:tr>
      <w:tr w:rsidR="00900ACA" w:rsidRPr="00553799" w:rsidTr="005C014A">
        <w:trPr>
          <w:trHeight w:val="315"/>
        </w:trPr>
        <w:tc>
          <w:tcPr>
            <w:tcW w:w="3236" w:type="dxa"/>
            <w:tcBorders>
              <w:top w:val="nil"/>
              <w:left w:val="single" w:sz="8" w:space="0" w:color="auto"/>
              <w:bottom w:val="single" w:sz="8"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 </w:t>
            </w:r>
          </w:p>
        </w:tc>
        <w:tc>
          <w:tcPr>
            <w:tcW w:w="3236" w:type="dxa"/>
            <w:tcBorders>
              <w:top w:val="single" w:sz="4" w:space="0" w:color="auto"/>
              <w:left w:val="nil"/>
              <w:bottom w:val="single" w:sz="8"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b/>
                <w:bCs/>
                <w:color w:val="000000"/>
                <w:lang w:eastAsia="it-IT"/>
              </w:rPr>
            </w:pPr>
            <w:r w:rsidRPr="00553799">
              <w:rPr>
                <w:rFonts w:asciiTheme="minorHAnsi" w:hAnsiTheme="minorHAnsi" w:cstheme="minorHAnsi"/>
                <w:b/>
                <w:bCs/>
                <w:color w:val="000000"/>
                <w:lang w:eastAsia="it-IT"/>
              </w:rPr>
              <w:t>H/SETTIMANA</w:t>
            </w:r>
          </w:p>
        </w:tc>
        <w:tc>
          <w:tcPr>
            <w:tcW w:w="3236" w:type="dxa"/>
            <w:tcBorders>
              <w:top w:val="nil"/>
              <w:left w:val="nil"/>
              <w:bottom w:val="single" w:sz="8" w:space="0" w:color="auto"/>
              <w:right w:val="single" w:sz="4" w:space="0" w:color="auto"/>
            </w:tcBorders>
            <w:noWrap/>
            <w:vAlign w:val="bottom"/>
          </w:tcPr>
          <w:p w:rsidR="00900ACA" w:rsidRPr="00553799" w:rsidRDefault="00900ACA" w:rsidP="005C014A">
            <w:pPr>
              <w:spacing w:after="0" w:line="240" w:lineRule="auto"/>
              <w:jc w:val="center"/>
              <w:rPr>
                <w:rFonts w:asciiTheme="minorHAnsi" w:hAnsiTheme="minorHAnsi" w:cstheme="minorHAnsi"/>
                <w:b/>
                <w:bCs/>
                <w:color w:val="000000"/>
                <w:lang w:eastAsia="it-IT"/>
              </w:rPr>
            </w:pPr>
          </w:p>
        </w:tc>
      </w:tr>
      <w:tr w:rsidR="00900ACA" w:rsidRPr="00553799" w:rsidTr="005C014A">
        <w:trPr>
          <w:trHeight w:val="300"/>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5C014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SERVIZIO TRIBUTI</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8447A" w:rsidP="0098447A">
            <w:pPr>
              <w:spacing w:after="0" w:line="240" w:lineRule="auto"/>
              <w:jc w:val="center"/>
              <w:rPr>
                <w:rFonts w:asciiTheme="minorHAnsi" w:hAnsiTheme="minorHAnsi" w:cstheme="minorHAnsi"/>
                <w:lang w:eastAsia="it-IT"/>
              </w:rPr>
            </w:pPr>
            <w:r>
              <w:rPr>
                <w:rFonts w:asciiTheme="minorHAnsi" w:hAnsiTheme="minorHAnsi" w:cstheme="minorHAnsi"/>
                <w:lang w:eastAsia="it-IT"/>
              </w:rPr>
              <w:t>5</w:t>
            </w:r>
            <w:r w:rsidR="00900ACA" w:rsidRPr="00553799">
              <w:rPr>
                <w:rFonts w:asciiTheme="minorHAnsi" w:hAnsiTheme="minorHAnsi" w:cstheme="minorHAnsi"/>
                <w:lang w:eastAsia="it-IT"/>
              </w:rPr>
              <w:t xml:space="preserve"> ORE</w:t>
            </w:r>
          </w:p>
        </w:tc>
        <w:tc>
          <w:tcPr>
            <w:tcW w:w="3236" w:type="dxa"/>
            <w:tcBorders>
              <w:top w:val="nil"/>
              <w:left w:val="nil"/>
              <w:bottom w:val="single" w:sz="4" w:space="0" w:color="auto"/>
              <w:right w:val="single" w:sz="4" w:space="0" w:color="auto"/>
            </w:tcBorders>
            <w:noWrap/>
            <w:vAlign w:val="bottom"/>
          </w:tcPr>
          <w:p w:rsidR="00900ACA" w:rsidRPr="00553799" w:rsidRDefault="00900ACA" w:rsidP="005C014A">
            <w:pPr>
              <w:spacing w:after="0" w:line="240" w:lineRule="auto"/>
              <w:jc w:val="center"/>
              <w:rPr>
                <w:rFonts w:asciiTheme="minorHAnsi" w:hAnsiTheme="minorHAnsi" w:cstheme="minorHAnsi"/>
                <w:color w:val="FF0000"/>
                <w:lang w:eastAsia="it-IT"/>
              </w:rPr>
            </w:pPr>
            <w:proofErr w:type="gramStart"/>
            <w:r w:rsidRPr="00553799">
              <w:rPr>
                <w:rFonts w:asciiTheme="minorHAnsi" w:hAnsiTheme="minorHAnsi" w:cstheme="minorHAnsi"/>
                <w:color w:val="000000"/>
              </w:rPr>
              <w:t>tariffa</w:t>
            </w:r>
            <w:proofErr w:type="gramEnd"/>
            <w:r w:rsidRPr="00553799">
              <w:rPr>
                <w:rFonts w:asciiTheme="minorHAnsi" w:hAnsiTheme="minorHAnsi" w:cstheme="minorHAnsi"/>
                <w:color w:val="000000"/>
              </w:rPr>
              <w:t xml:space="preserve"> oraria prevista per la categoria</w:t>
            </w:r>
            <w:r w:rsidRPr="00553799">
              <w:rPr>
                <w:rFonts w:asciiTheme="minorHAnsi" w:hAnsiTheme="minorHAnsi" w:cstheme="minorHAnsi"/>
                <w:color w:val="000000"/>
                <w:lang w:eastAsia="it-IT"/>
              </w:rPr>
              <w:t> </w:t>
            </w:r>
          </w:p>
        </w:tc>
      </w:tr>
      <w:tr w:rsidR="00900ACA" w:rsidRPr="00553799" w:rsidTr="005C014A">
        <w:trPr>
          <w:trHeight w:val="300"/>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5C014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CAT. D2</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00ACA" w:rsidP="005C014A">
            <w:pPr>
              <w:spacing w:after="0" w:line="240" w:lineRule="auto"/>
              <w:jc w:val="center"/>
              <w:rPr>
                <w:rFonts w:asciiTheme="minorHAnsi" w:hAnsiTheme="minorHAnsi" w:cstheme="minorHAnsi"/>
                <w:lang w:eastAsia="it-IT"/>
              </w:rPr>
            </w:pPr>
            <w:r w:rsidRPr="00553799">
              <w:rPr>
                <w:rFonts w:asciiTheme="minorHAnsi" w:hAnsiTheme="minorHAnsi" w:cstheme="minorHAnsi"/>
                <w:lang w:eastAsia="it-IT"/>
              </w:rPr>
              <w:t> </w:t>
            </w:r>
          </w:p>
        </w:tc>
        <w:tc>
          <w:tcPr>
            <w:tcW w:w="3236" w:type="dxa"/>
            <w:tcBorders>
              <w:top w:val="nil"/>
              <w:left w:val="nil"/>
              <w:bottom w:val="single" w:sz="4" w:space="0" w:color="auto"/>
              <w:right w:val="single" w:sz="4" w:space="0" w:color="auto"/>
            </w:tcBorders>
            <w:noWrap/>
            <w:vAlign w:val="bottom"/>
          </w:tcPr>
          <w:p w:rsidR="00900ACA" w:rsidRPr="00553799" w:rsidRDefault="00900ACA" w:rsidP="005C014A">
            <w:pPr>
              <w:spacing w:after="0" w:line="240" w:lineRule="auto"/>
              <w:jc w:val="center"/>
              <w:rPr>
                <w:rFonts w:asciiTheme="minorHAnsi" w:hAnsiTheme="minorHAnsi" w:cstheme="minorHAnsi"/>
                <w:color w:val="000000"/>
              </w:rPr>
            </w:pPr>
          </w:p>
        </w:tc>
      </w:tr>
      <w:tr w:rsidR="00900ACA" w:rsidRPr="00553799" w:rsidTr="005C014A">
        <w:trPr>
          <w:trHeight w:val="300"/>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5C014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SERVIZIO VIGILI</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00ACA" w:rsidP="005C014A">
            <w:pPr>
              <w:spacing w:after="0" w:line="240" w:lineRule="auto"/>
              <w:jc w:val="center"/>
              <w:rPr>
                <w:rFonts w:asciiTheme="minorHAnsi" w:hAnsiTheme="minorHAnsi" w:cstheme="minorHAnsi"/>
                <w:lang w:eastAsia="it-IT"/>
              </w:rPr>
            </w:pPr>
            <w:r w:rsidRPr="00553799">
              <w:rPr>
                <w:rFonts w:asciiTheme="minorHAnsi" w:hAnsiTheme="minorHAnsi" w:cstheme="minorHAnsi"/>
                <w:lang w:eastAsia="it-IT"/>
              </w:rPr>
              <w:t>7 ORE</w:t>
            </w:r>
          </w:p>
        </w:tc>
        <w:tc>
          <w:tcPr>
            <w:tcW w:w="3236" w:type="dxa"/>
            <w:tcBorders>
              <w:top w:val="nil"/>
              <w:left w:val="nil"/>
              <w:bottom w:val="single" w:sz="4" w:space="0" w:color="auto"/>
              <w:right w:val="single" w:sz="4" w:space="0" w:color="auto"/>
            </w:tcBorders>
            <w:noWrap/>
            <w:vAlign w:val="bottom"/>
          </w:tcPr>
          <w:p w:rsidR="00900ACA" w:rsidRPr="00553799" w:rsidRDefault="00900ACA" w:rsidP="005C014A">
            <w:pPr>
              <w:spacing w:after="0" w:line="240" w:lineRule="auto"/>
              <w:jc w:val="center"/>
              <w:rPr>
                <w:rFonts w:asciiTheme="minorHAnsi" w:hAnsiTheme="minorHAnsi" w:cstheme="minorHAnsi"/>
                <w:color w:val="000000"/>
              </w:rPr>
            </w:pPr>
            <w:proofErr w:type="gramStart"/>
            <w:r w:rsidRPr="00553799">
              <w:rPr>
                <w:rFonts w:asciiTheme="minorHAnsi" w:hAnsiTheme="minorHAnsi" w:cstheme="minorHAnsi"/>
                <w:color w:val="000000"/>
              </w:rPr>
              <w:t>tariffa</w:t>
            </w:r>
            <w:proofErr w:type="gramEnd"/>
            <w:r w:rsidRPr="00553799">
              <w:rPr>
                <w:rFonts w:asciiTheme="minorHAnsi" w:hAnsiTheme="minorHAnsi" w:cstheme="minorHAnsi"/>
                <w:color w:val="000000"/>
              </w:rPr>
              <w:t xml:space="preserve"> oraria prevista per la categoria </w:t>
            </w:r>
          </w:p>
        </w:tc>
      </w:tr>
      <w:tr w:rsidR="00900ACA" w:rsidRPr="00553799" w:rsidTr="005C014A">
        <w:trPr>
          <w:trHeight w:val="300"/>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5C014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CAT. C5 + D3</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00ACA" w:rsidP="005C014A">
            <w:pPr>
              <w:spacing w:after="0" w:line="240" w:lineRule="auto"/>
              <w:jc w:val="center"/>
              <w:rPr>
                <w:rFonts w:asciiTheme="minorHAnsi" w:hAnsiTheme="minorHAnsi" w:cstheme="minorHAnsi"/>
                <w:lang w:eastAsia="it-IT"/>
              </w:rPr>
            </w:pPr>
            <w:r w:rsidRPr="00553799">
              <w:rPr>
                <w:rFonts w:asciiTheme="minorHAnsi" w:hAnsiTheme="minorHAnsi" w:cstheme="minorHAnsi"/>
                <w:lang w:eastAsia="it-IT"/>
              </w:rPr>
              <w:t> </w:t>
            </w:r>
          </w:p>
        </w:tc>
        <w:tc>
          <w:tcPr>
            <w:tcW w:w="3236" w:type="dxa"/>
            <w:tcBorders>
              <w:top w:val="nil"/>
              <w:left w:val="nil"/>
              <w:bottom w:val="single" w:sz="4" w:space="0" w:color="auto"/>
              <w:right w:val="single" w:sz="4" w:space="0" w:color="auto"/>
            </w:tcBorders>
            <w:noWrap/>
            <w:vAlign w:val="bottom"/>
          </w:tcPr>
          <w:p w:rsidR="00900ACA" w:rsidRPr="00553799" w:rsidRDefault="00900ACA" w:rsidP="005C014A">
            <w:pPr>
              <w:spacing w:after="0" w:line="240" w:lineRule="auto"/>
              <w:jc w:val="center"/>
              <w:rPr>
                <w:rFonts w:asciiTheme="minorHAnsi" w:hAnsiTheme="minorHAnsi" w:cstheme="minorHAnsi"/>
                <w:color w:val="000000"/>
              </w:rPr>
            </w:pPr>
          </w:p>
        </w:tc>
      </w:tr>
      <w:tr w:rsidR="00900ACA" w:rsidRPr="00553799" w:rsidTr="005C014A">
        <w:trPr>
          <w:trHeight w:val="582"/>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5C014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SERVIZIO TECNICO</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8447A" w:rsidP="0098447A">
            <w:pPr>
              <w:spacing w:after="0" w:line="240" w:lineRule="auto"/>
              <w:jc w:val="center"/>
              <w:rPr>
                <w:rFonts w:asciiTheme="minorHAnsi" w:hAnsiTheme="minorHAnsi" w:cstheme="minorHAnsi"/>
                <w:color w:val="000000"/>
                <w:lang w:eastAsia="it-IT"/>
              </w:rPr>
            </w:pPr>
            <w:r>
              <w:rPr>
                <w:rFonts w:asciiTheme="minorHAnsi" w:hAnsiTheme="minorHAnsi" w:cstheme="minorHAnsi"/>
                <w:color w:val="000000"/>
                <w:lang w:eastAsia="it-IT"/>
              </w:rPr>
              <w:t>8</w:t>
            </w:r>
            <w:r w:rsidR="00900ACA" w:rsidRPr="00553799">
              <w:rPr>
                <w:rFonts w:asciiTheme="minorHAnsi" w:hAnsiTheme="minorHAnsi" w:cstheme="minorHAnsi"/>
                <w:color w:val="000000"/>
                <w:lang w:eastAsia="it-IT"/>
              </w:rPr>
              <w:t xml:space="preserve"> ORE</w:t>
            </w:r>
          </w:p>
        </w:tc>
        <w:tc>
          <w:tcPr>
            <w:tcW w:w="3236" w:type="dxa"/>
            <w:tcBorders>
              <w:top w:val="nil"/>
              <w:left w:val="nil"/>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color w:val="000000"/>
                <w:lang w:eastAsia="it-IT"/>
              </w:rPr>
            </w:pPr>
            <w:proofErr w:type="gramStart"/>
            <w:r w:rsidRPr="00553799">
              <w:rPr>
                <w:rFonts w:asciiTheme="minorHAnsi" w:hAnsiTheme="minorHAnsi" w:cstheme="minorHAnsi"/>
                <w:color w:val="000000"/>
              </w:rPr>
              <w:t>tariffa</w:t>
            </w:r>
            <w:proofErr w:type="gramEnd"/>
            <w:r w:rsidRPr="00553799">
              <w:rPr>
                <w:rFonts w:asciiTheme="minorHAnsi" w:hAnsiTheme="minorHAnsi" w:cstheme="minorHAnsi"/>
                <w:color w:val="000000"/>
              </w:rPr>
              <w:t xml:space="preserve"> oraria prevista per la categoria</w:t>
            </w:r>
            <w:r w:rsidRPr="00553799">
              <w:rPr>
                <w:rFonts w:asciiTheme="minorHAnsi" w:hAnsiTheme="minorHAnsi" w:cstheme="minorHAnsi"/>
                <w:color w:val="000000"/>
                <w:lang w:eastAsia="it-IT"/>
              </w:rPr>
              <w:t> </w:t>
            </w:r>
          </w:p>
        </w:tc>
      </w:tr>
      <w:tr w:rsidR="00900ACA" w:rsidRPr="00553799" w:rsidTr="005C014A">
        <w:trPr>
          <w:trHeight w:val="326"/>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00ACA" w:rsidRPr="00553799" w:rsidRDefault="00900ACA" w:rsidP="0098447A">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 xml:space="preserve">CAT. C4 </w:t>
            </w:r>
          </w:p>
        </w:tc>
        <w:tc>
          <w:tcPr>
            <w:tcW w:w="3236" w:type="dxa"/>
            <w:tcBorders>
              <w:top w:val="nil"/>
              <w:left w:val="nil"/>
              <w:bottom w:val="single" w:sz="4" w:space="0" w:color="auto"/>
              <w:right w:val="single" w:sz="4" w:space="0" w:color="auto"/>
            </w:tcBorders>
            <w:shd w:val="clear" w:color="000000" w:fill="EEECE1"/>
            <w:noWrap/>
            <w:vAlign w:val="bottom"/>
            <w:hideMark/>
          </w:tcPr>
          <w:p w:rsidR="00900ACA" w:rsidRPr="00553799" w:rsidRDefault="00900ACA" w:rsidP="005C014A">
            <w:pPr>
              <w:spacing w:after="0" w:line="240" w:lineRule="auto"/>
              <w:jc w:val="center"/>
              <w:rPr>
                <w:rFonts w:asciiTheme="minorHAnsi" w:hAnsiTheme="minorHAnsi" w:cstheme="minorHAnsi"/>
                <w:color w:val="000000"/>
                <w:lang w:eastAsia="it-IT"/>
              </w:rPr>
            </w:pPr>
            <w:r w:rsidRPr="00553799">
              <w:rPr>
                <w:rFonts w:asciiTheme="minorHAnsi" w:hAnsiTheme="minorHAnsi" w:cstheme="minorHAnsi"/>
                <w:color w:val="000000"/>
                <w:lang w:eastAsia="it-IT"/>
              </w:rPr>
              <w:t> </w:t>
            </w:r>
          </w:p>
        </w:tc>
        <w:tc>
          <w:tcPr>
            <w:tcW w:w="3236" w:type="dxa"/>
            <w:tcBorders>
              <w:top w:val="nil"/>
              <w:left w:val="nil"/>
              <w:bottom w:val="single" w:sz="4" w:space="0" w:color="auto"/>
              <w:right w:val="single" w:sz="4" w:space="0" w:color="auto"/>
            </w:tcBorders>
            <w:noWrap/>
            <w:vAlign w:val="bottom"/>
            <w:hideMark/>
          </w:tcPr>
          <w:p w:rsidR="00900ACA" w:rsidRPr="00553799" w:rsidRDefault="00900ACA" w:rsidP="005C014A">
            <w:pPr>
              <w:spacing w:after="0" w:line="240" w:lineRule="auto"/>
              <w:jc w:val="center"/>
              <w:rPr>
                <w:rFonts w:asciiTheme="minorHAnsi" w:hAnsiTheme="minorHAnsi" w:cstheme="minorHAnsi"/>
                <w:color w:val="000000"/>
              </w:rPr>
            </w:pPr>
            <w:r w:rsidRPr="00553799">
              <w:rPr>
                <w:rFonts w:asciiTheme="minorHAnsi" w:hAnsiTheme="minorHAnsi" w:cstheme="minorHAnsi"/>
                <w:color w:val="000000"/>
              </w:rPr>
              <w:t> </w:t>
            </w:r>
          </w:p>
        </w:tc>
      </w:tr>
    </w:tbl>
    <w:p w:rsidR="00900ACA" w:rsidRPr="00553799" w:rsidRDefault="00900ACA" w:rsidP="00900ACA">
      <w:pPr>
        <w:widowControl w:val="0"/>
        <w:spacing w:after="0" w:line="240" w:lineRule="atLeast"/>
        <w:ind w:left="112"/>
        <w:jc w:val="both"/>
        <w:rPr>
          <w:rFonts w:asciiTheme="minorHAnsi" w:hAnsiTheme="minorHAnsi" w:cstheme="minorHAnsi"/>
          <w:spacing w:val="-2"/>
        </w:rPr>
      </w:pPr>
    </w:p>
    <w:tbl>
      <w:tblPr>
        <w:tblW w:w="9708" w:type="dxa"/>
        <w:tblInd w:w="70" w:type="dxa"/>
        <w:tblCellMar>
          <w:left w:w="70" w:type="dxa"/>
          <w:right w:w="70" w:type="dxa"/>
        </w:tblCellMar>
        <w:tblLook w:val="04A0" w:firstRow="1" w:lastRow="0" w:firstColumn="1" w:lastColumn="0" w:noHBand="0" w:noVBand="1"/>
      </w:tblPr>
      <w:tblGrid>
        <w:gridCol w:w="3236"/>
        <w:gridCol w:w="3236"/>
        <w:gridCol w:w="3236"/>
      </w:tblGrid>
      <w:tr w:rsidR="0098447A" w:rsidRPr="00553799" w:rsidTr="001B332E">
        <w:trPr>
          <w:trHeight w:val="582"/>
        </w:trPr>
        <w:tc>
          <w:tcPr>
            <w:tcW w:w="3236" w:type="dxa"/>
            <w:tcBorders>
              <w:top w:val="nil"/>
              <w:left w:val="single" w:sz="8" w:space="0" w:color="auto"/>
              <w:bottom w:val="single" w:sz="4" w:space="0" w:color="auto"/>
              <w:right w:val="single" w:sz="4" w:space="0" w:color="auto"/>
            </w:tcBorders>
            <w:shd w:val="clear" w:color="000000" w:fill="8DB4E2"/>
            <w:noWrap/>
            <w:vAlign w:val="bottom"/>
            <w:hideMark/>
          </w:tcPr>
          <w:p w:rsidR="0098447A" w:rsidRPr="00553799" w:rsidRDefault="0098447A" w:rsidP="001B332E">
            <w:pPr>
              <w:spacing w:after="0" w:line="240" w:lineRule="auto"/>
              <w:rPr>
                <w:rFonts w:asciiTheme="minorHAnsi" w:hAnsiTheme="minorHAnsi" w:cstheme="minorHAnsi"/>
                <w:bCs/>
                <w:color w:val="000000"/>
                <w:lang w:eastAsia="it-IT"/>
              </w:rPr>
            </w:pPr>
            <w:r w:rsidRPr="00553799">
              <w:rPr>
                <w:rFonts w:asciiTheme="minorHAnsi" w:hAnsiTheme="minorHAnsi" w:cstheme="minorHAnsi"/>
                <w:bCs/>
                <w:color w:val="000000"/>
                <w:lang w:eastAsia="it-IT"/>
              </w:rPr>
              <w:t>SERVIZIO TECNICO</w:t>
            </w:r>
            <w:r>
              <w:rPr>
                <w:rFonts w:asciiTheme="minorHAnsi" w:hAnsiTheme="minorHAnsi" w:cstheme="minorHAnsi"/>
                <w:bCs/>
                <w:color w:val="000000"/>
                <w:lang w:eastAsia="it-IT"/>
              </w:rPr>
              <w:t xml:space="preserve">/supporto </w:t>
            </w:r>
          </w:p>
        </w:tc>
        <w:tc>
          <w:tcPr>
            <w:tcW w:w="3236" w:type="dxa"/>
            <w:tcBorders>
              <w:top w:val="nil"/>
              <w:left w:val="nil"/>
              <w:bottom w:val="single" w:sz="4" w:space="0" w:color="auto"/>
              <w:right w:val="single" w:sz="4" w:space="0" w:color="auto"/>
            </w:tcBorders>
            <w:shd w:val="clear" w:color="000000" w:fill="EEECE1"/>
            <w:noWrap/>
            <w:vAlign w:val="bottom"/>
            <w:hideMark/>
          </w:tcPr>
          <w:p w:rsidR="0098447A" w:rsidRPr="00553799" w:rsidRDefault="0098447A" w:rsidP="001B332E">
            <w:pPr>
              <w:spacing w:after="0" w:line="240" w:lineRule="auto"/>
              <w:jc w:val="center"/>
              <w:rPr>
                <w:rFonts w:asciiTheme="minorHAnsi" w:hAnsiTheme="minorHAnsi" w:cstheme="minorHAnsi"/>
                <w:color w:val="000000"/>
                <w:lang w:eastAsia="it-IT"/>
              </w:rPr>
            </w:pPr>
            <w:r>
              <w:rPr>
                <w:rFonts w:asciiTheme="minorHAnsi" w:hAnsiTheme="minorHAnsi" w:cstheme="minorHAnsi"/>
                <w:color w:val="000000"/>
                <w:lang w:eastAsia="it-IT"/>
              </w:rPr>
              <w:t>4</w:t>
            </w:r>
            <w:r w:rsidRPr="00553799">
              <w:rPr>
                <w:rFonts w:asciiTheme="minorHAnsi" w:hAnsiTheme="minorHAnsi" w:cstheme="minorHAnsi"/>
                <w:color w:val="000000"/>
                <w:lang w:eastAsia="it-IT"/>
              </w:rPr>
              <w:t xml:space="preserve"> ORE</w:t>
            </w:r>
          </w:p>
        </w:tc>
        <w:tc>
          <w:tcPr>
            <w:tcW w:w="3236" w:type="dxa"/>
            <w:tcBorders>
              <w:top w:val="nil"/>
              <w:left w:val="nil"/>
              <w:bottom w:val="single" w:sz="4" w:space="0" w:color="auto"/>
              <w:right w:val="single" w:sz="4" w:space="0" w:color="auto"/>
            </w:tcBorders>
            <w:noWrap/>
            <w:vAlign w:val="bottom"/>
            <w:hideMark/>
          </w:tcPr>
          <w:p w:rsidR="0098447A" w:rsidRPr="00553799" w:rsidRDefault="0098447A" w:rsidP="001B332E">
            <w:pPr>
              <w:spacing w:after="0" w:line="240" w:lineRule="auto"/>
              <w:jc w:val="center"/>
              <w:rPr>
                <w:rFonts w:asciiTheme="minorHAnsi" w:hAnsiTheme="minorHAnsi" w:cstheme="minorHAnsi"/>
                <w:color w:val="000000"/>
                <w:lang w:eastAsia="it-IT"/>
              </w:rPr>
            </w:pPr>
            <w:proofErr w:type="gramStart"/>
            <w:r w:rsidRPr="00553799">
              <w:rPr>
                <w:rFonts w:asciiTheme="minorHAnsi" w:hAnsiTheme="minorHAnsi" w:cstheme="minorHAnsi"/>
                <w:color w:val="000000"/>
              </w:rPr>
              <w:t>tariffa</w:t>
            </w:r>
            <w:proofErr w:type="gramEnd"/>
            <w:r w:rsidRPr="00553799">
              <w:rPr>
                <w:rFonts w:asciiTheme="minorHAnsi" w:hAnsiTheme="minorHAnsi" w:cstheme="minorHAnsi"/>
                <w:color w:val="000000"/>
              </w:rPr>
              <w:t xml:space="preserve"> oraria prevista per la categoria</w:t>
            </w:r>
            <w:r w:rsidRPr="00553799">
              <w:rPr>
                <w:rFonts w:asciiTheme="minorHAnsi" w:hAnsiTheme="minorHAnsi" w:cstheme="minorHAnsi"/>
                <w:color w:val="000000"/>
                <w:lang w:eastAsia="it-IT"/>
              </w:rPr>
              <w:t> </w:t>
            </w:r>
          </w:p>
        </w:tc>
      </w:tr>
    </w:tbl>
    <w:p w:rsidR="00900ACA" w:rsidRDefault="00900ACA" w:rsidP="00900ACA">
      <w:pPr>
        <w:widowControl w:val="0"/>
        <w:spacing w:after="0" w:line="240" w:lineRule="atLeast"/>
        <w:jc w:val="both"/>
        <w:outlineLvl w:val="2"/>
        <w:rPr>
          <w:rFonts w:asciiTheme="minorHAnsi" w:hAnsiTheme="minorHAnsi" w:cstheme="minorHAnsi"/>
          <w:bCs/>
        </w:rPr>
      </w:pPr>
    </w:p>
    <w:p w:rsidR="0098447A" w:rsidRPr="00553799" w:rsidRDefault="0098447A" w:rsidP="00900ACA">
      <w:pPr>
        <w:widowControl w:val="0"/>
        <w:spacing w:after="0" w:line="240" w:lineRule="atLeast"/>
        <w:jc w:val="both"/>
        <w:outlineLvl w:val="2"/>
        <w:rPr>
          <w:rFonts w:asciiTheme="minorHAnsi" w:hAnsiTheme="minorHAnsi" w:cstheme="minorHAnsi"/>
          <w:bCs/>
        </w:rPr>
      </w:pPr>
    </w:p>
    <w:p w:rsidR="00900ACA" w:rsidRPr="00553799" w:rsidRDefault="00900ACA" w:rsidP="00900ACA">
      <w:pPr>
        <w:widowControl w:val="0"/>
        <w:pBdr>
          <w:top w:val="single" w:sz="4" w:space="1" w:color="auto"/>
          <w:left w:val="single" w:sz="4" w:space="15" w:color="auto"/>
          <w:bottom w:val="single" w:sz="4" w:space="1" w:color="auto"/>
          <w:right w:val="single" w:sz="4" w:space="4" w:color="auto"/>
          <w:between w:val="single" w:sz="4" w:space="1" w:color="auto"/>
        </w:pBdr>
        <w:spacing w:after="0" w:line="240" w:lineRule="atLeast"/>
        <w:ind w:left="284" w:right="140"/>
        <w:jc w:val="both"/>
        <w:outlineLvl w:val="2"/>
        <w:rPr>
          <w:rFonts w:asciiTheme="minorHAnsi" w:hAnsiTheme="minorHAnsi" w:cstheme="minorHAnsi"/>
          <w:b/>
          <w:bCs/>
        </w:rPr>
      </w:pPr>
      <w:r w:rsidRPr="00553799">
        <w:rPr>
          <w:rFonts w:asciiTheme="minorHAnsi" w:hAnsiTheme="minorHAnsi" w:cstheme="minorHAnsi"/>
          <w:b/>
          <w:bCs/>
        </w:rPr>
        <w:t>Programmazione d</w:t>
      </w:r>
      <w:bookmarkStart w:id="0" w:name="_GoBack"/>
      <w:bookmarkEnd w:id="0"/>
      <w:r w:rsidRPr="00553799">
        <w:rPr>
          <w:rFonts w:asciiTheme="minorHAnsi" w:hAnsiTheme="minorHAnsi" w:cstheme="minorHAnsi"/>
          <w:b/>
          <w:bCs/>
        </w:rPr>
        <w:t>egli incarichi</w:t>
      </w:r>
    </w:p>
    <w:p w:rsidR="00900ACA" w:rsidRPr="00553799" w:rsidRDefault="00900ACA" w:rsidP="00900ACA">
      <w:pPr>
        <w:spacing w:after="0" w:line="240" w:lineRule="atLeast"/>
        <w:jc w:val="both"/>
        <w:rPr>
          <w:rFonts w:asciiTheme="minorHAnsi" w:hAnsiTheme="minorHAnsi" w:cstheme="minorHAnsi"/>
          <w:highlight w:val="yellow"/>
        </w:rPr>
      </w:pPr>
    </w:p>
    <w:p w:rsidR="00900ACA" w:rsidRPr="00553799" w:rsidRDefault="00900ACA" w:rsidP="008D326E">
      <w:pPr>
        <w:spacing w:after="0" w:line="240" w:lineRule="atLeast"/>
        <w:jc w:val="both"/>
        <w:rPr>
          <w:rFonts w:asciiTheme="minorHAnsi" w:hAnsiTheme="minorHAnsi" w:cstheme="minorHAnsi"/>
        </w:rPr>
      </w:pPr>
      <w:r w:rsidRPr="00553799">
        <w:rPr>
          <w:rFonts w:asciiTheme="minorHAnsi" w:hAnsiTheme="minorHAnsi" w:cstheme="minorHAnsi"/>
        </w:rPr>
        <w:t xml:space="preserve">Premesso che la </w:t>
      </w:r>
      <w:hyperlink r:id="rId5" w:history="1">
        <w:r w:rsidRPr="00553799">
          <w:rPr>
            <w:rStyle w:val="Collegamentoipertestuale"/>
            <w:rFonts w:asciiTheme="minorHAnsi" w:hAnsiTheme="minorHAnsi" w:cstheme="minorHAnsi"/>
          </w:rPr>
          <w:t>legge 24 dicembre 2007, n. 244</w:t>
        </w:r>
      </w:hyperlink>
      <w:r w:rsidRPr="00553799">
        <w:rPr>
          <w:rFonts w:asciiTheme="minorHAnsi" w:hAnsiTheme="minorHAnsi" w:cstheme="minorHAnsi"/>
        </w:rPr>
        <w:t xml:space="preserve"> (legge finanziaria 2008), per esigenze di contenimento della spesa pubblica e di razionalizzazione delle esigenze di ricorso agli incarichi esterni di collaborazione e delle relative modalità di affidamento:</w:t>
      </w:r>
    </w:p>
    <w:p w:rsidR="00900ACA" w:rsidRPr="00553799" w:rsidRDefault="00900ACA" w:rsidP="008D326E">
      <w:pPr>
        <w:spacing w:after="0" w:line="240" w:lineRule="atLeast"/>
        <w:ind w:left="426" w:hanging="284"/>
        <w:jc w:val="both"/>
        <w:rPr>
          <w:rFonts w:asciiTheme="minorHAnsi" w:hAnsiTheme="minorHAnsi" w:cstheme="minorHAnsi"/>
        </w:rPr>
      </w:pPr>
      <w:r w:rsidRPr="00553799">
        <w:rPr>
          <w:rFonts w:asciiTheme="minorHAnsi" w:hAnsiTheme="minorHAnsi" w:cstheme="minorHAnsi"/>
        </w:rPr>
        <w:t xml:space="preserve">– </w:t>
      </w:r>
      <w:r w:rsidRPr="00553799">
        <w:rPr>
          <w:rFonts w:asciiTheme="minorHAnsi" w:hAnsiTheme="minorHAnsi" w:cstheme="minorHAnsi"/>
        </w:rPr>
        <w:tab/>
        <w:t>all’articolo 3, comma 55, ha disposto che “</w:t>
      </w:r>
      <w:r w:rsidRPr="00553799">
        <w:rPr>
          <w:rFonts w:asciiTheme="minorHAnsi" w:hAnsiTheme="minorHAnsi" w:cstheme="minorHAnsi"/>
          <w:i/>
          <w:iCs/>
        </w:rPr>
        <w:t>l’affidamento da parte degli enti locali di contratti di collaborazione incarichi di studio o di ricerca, ovvero di consulenza, a soggetti estranei all’amministrazione, può avvenire solo nell’ambito di un programma approvato dal consiglio ai sensi dell’art. 42, comma 2, lettera b), del testo unico di cui al decreto legislativo 18 agosto 2000, n. 267</w:t>
      </w:r>
      <w:r w:rsidRPr="00553799">
        <w:rPr>
          <w:rFonts w:asciiTheme="minorHAnsi" w:hAnsiTheme="minorHAnsi" w:cstheme="minorHAnsi"/>
        </w:rPr>
        <w:t>”;</w:t>
      </w:r>
    </w:p>
    <w:p w:rsidR="00900ACA" w:rsidRPr="00553799" w:rsidRDefault="00900ACA" w:rsidP="00900ACA">
      <w:pPr>
        <w:spacing w:after="0" w:line="240" w:lineRule="atLeast"/>
        <w:ind w:left="426" w:hanging="284"/>
        <w:jc w:val="both"/>
        <w:rPr>
          <w:rFonts w:asciiTheme="minorHAnsi" w:hAnsiTheme="minorHAnsi" w:cstheme="minorHAnsi"/>
        </w:rPr>
      </w:pPr>
      <w:r w:rsidRPr="00553799">
        <w:rPr>
          <w:rFonts w:asciiTheme="minorHAnsi" w:hAnsiTheme="minorHAnsi" w:cstheme="minorHAnsi"/>
        </w:rPr>
        <w:t xml:space="preserve">– </w:t>
      </w:r>
      <w:r w:rsidRPr="00553799">
        <w:rPr>
          <w:rFonts w:asciiTheme="minorHAnsi" w:hAnsiTheme="minorHAnsi" w:cstheme="minorHAnsi"/>
        </w:rPr>
        <w:tab/>
        <w:t>all’articolo 3, comma 56, ha demandato al regolamento di organizzazione dell’ente l’individuazione di limiti, criteri e modalità per l’affidamento di incarichi di collaborazione, di studio o di ricerca, ovvero di consulenze, a soggetti estranei;</w:t>
      </w:r>
    </w:p>
    <w:p w:rsidR="00900ACA" w:rsidRPr="00553799" w:rsidRDefault="00900ACA" w:rsidP="00900ACA">
      <w:pPr>
        <w:spacing w:after="0" w:line="240" w:lineRule="atLeast"/>
        <w:jc w:val="both"/>
        <w:rPr>
          <w:rFonts w:asciiTheme="minorHAnsi" w:hAnsiTheme="minorHAnsi" w:cstheme="minorHAnsi"/>
        </w:rPr>
      </w:pPr>
      <w:r w:rsidRPr="00553799">
        <w:rPr>
          <w:rFonts w:asciiTheme="minorHAnsi" w:hAnsiTheme="minorHAnsi" w:cstheme="minorHAnsi"/>
        </w:rPr>
        <w:t xml:space="preserve">Atteso che la disciplina dell’affidamento degli incarichi di collaborazione da parte degli enti locali contenuta nel </w:t>
      </w:r>
      <w:hyperlink r:id="rId6" w:history="1">
        <w:r w:rsidRPr="00553799">
          <w:rPr>
            <w:rStyle w:val="Collegamentoipertestuale"/>
            <w:rFonts w:asciiTheme="minorHAnsi" w:hAnsiTheme="minorHAnsi" w:cstheme="minorHAnsi"/>
          </w:rPr>
          <w:t>decreto legge n. 112/2008</w:t>
        </w:r>
      </w:hyperlink>
      <w:r w:rsidRPr="00553799">
        <w:rPr>
          <w:rFonts w:asciiTheme="minorHAnsi" w:hAnsiTheme="minorHAnsi" w:cstheme="minorHAnsi"/>
        </w:rPr>
        <w:t xml:space="preserve"> (</w:t>
      </w:r>
      <w:proofErr w:type="spellStart"/>
      <w:r w:rsidRPr="00553799">
        <w:rPr>
          <w:rFonts w:asciiTheme="minorHAnsi" w:hAnsiTheme="minorHAnsi" w:cstheme="minorHAnsi"/>
        </w:rPr>
        <w:t>conv</w:t>
      </w:r>
      <w:proofErr w:type="spellEnd"/>
      <w:r w:rsidRPr="00553799">
        <w:rPr>
          <w:rFonts w:asciiTheme="minorHAnsi" w:hAnsiTheme="minorHAnsi" w:cstheme="minorHAnsi"/>
        </w:rPr>
        <w:t xml:space="preserve">. </w:t>
      </w:r>
      <w:proofErr w:type="gramStart"/>
      <w:r w:rsidRPr="00553799">
        <w:rPr>
          <w:rFonts w:asciiTheme="minorHAnsi" w:hAnsiTheme="minorHAnsi" w:cstheme="minorHAnsi"/>
        </w:rPr>
        <w:t>in</w:t>
      </w:r>
      <w:proofErr w:type="gramEnd"/>
      <w:r w:rsidRPr="00553799">
        <w:rPr>
          <w:rFonts w:asciiTheme="minorHAnsi" w:hAnsiTheme="minorHAnsi" w:cstheme="minorHAnsi"/>
        </w:rPr>
        <w:t xml:space="preserve"> legge n. 133/2008) ha rafforzato il ruolo della programmazione consiliare.</w:t>
      </w:r>
    </w:p>
    <w:p w:rsidR="00900ACA" w:rsidRPr="00553799" w:rsidRDefault="00900ACA" w:rsidP="00900ACA">
      <w:pPr>
        <w:spacing w:after="0" w:line="240" w:lineRule="atLeast"/>
        <w:jc w:val="both"/>
        <w:rPr>
          <w:rFonts w:asciiTheme="minorHAnsi" w:hAnsiTheme="minorHAnsi" w:cstheme="minorHAnsi"/>
        </w:rPr>
      </w:pPr>
      <w:r w:rsidRPr="00553799">
        <w:rPr>
          <w:rFonts w:asciiTheme="minorHAnsi" w:hAnsiTheme="minorHAnsi" w:cstheme="minorHAnsi"/>
        </w:rPr>
        <w:t xml:space="preserve">Visto </w:t>
      </w:r>
      <w:hyperlink r:id="rId7" w:history="1">
        <w:r w:rsidRPr="00553799">
          <w:rPr>
            <w:rStyle w:val="Collegamentoipertestuale"/>
            <w:rFonts w:asciiTheme="minorHAnsi" w:hAnsiTheme="minorHAnsi" w:cstheme="minorHAnsi"/>
          </w:rPr>
          <w:t xml:space="preserve">l’art. 7, c. 6, </w:t>
        </w:r>
        <w:proofErr w:type="spellStart"/>
        <w:r w:rsidRPr="00553799">
          <w:rPr>
            <w:rStyle w:val="Collegamentoipertestuale"/>
            <w:rFonts w:asciiTheme="minorHAnsi" w:hAnsiTheme="minorHAnsi" w:cstheme="minorHAnsi"/>
          </w:rPr>
          <w:t>D.Lgs.n</w:t>
        </w:r>
        <w:proofErr w:type="spellEnd"/>
        <w:r w:rsidRPr="00553799">
          <w:rPr>
            <w:rStyle w:val="Collegamentoipertestuale"/>
            <w:rFonts w:asciiTheme="minorHAnsi" w:hAnsiTheme="minorHAnsi" w:cstheme="minorHAnsi"/>
          </w:rPr>
          <w:t>. 165/2001</w:t>
        </w:r>
      </w:hyperlink>
      <w:r w:rsidRPr="00553799">
        <w:rPr>
          <w:rFonts w:asciiTheme="minorHAnsi" w:hAnsiTheme="minorHAnsi" w:cstheme="minorHAnsi"/>
        </w:rPr>
        <w:t xml:space="preserve"> </w:t>
      </w:r>
    </w:p>
    <w:p w:rsidR="00900ACA" w:rsidRPr="00553799" w:rsidRDefault="00900ACA" w:rsidP="00900ACA">
      <w:pPr>
        <w:spacing w:after="0" w:line="240" w:lineRule="atLeast"/>
        <w:jc w:val="both"/>
        <w:rPr>
          <w:rFonts w:asciiTheme="minorHAnsi" w:hAnsiTheme="minorHAnsi" w:cstheme="minorHAnsi"/>
        </w:rPr>
      </w:pPr>
      <w:r w:rsidRPr="00553799">
        <w:rPr>
          <w:rFonts w:asciiTheme="minorHAnsi" w:hAnsiTheme="minorHAnsi" w:cstheme="minorHAnsi"/>
        </w:rPr>
        <w:t>Considerato che il programma per l’affidamento degli incarichi deve dare prioritariamente conto degli obiettivi e delle finalità che si intendono raggiungere mediante il ricorso a collaborazioni esterne. L’ente non ritiene al momento di affidare incarichi nell’anno 2024 di consulenza e/o di collaborazione specialistica se non relativi a cause o particolari contenziosi o per lavori PNRR stimando un costo di euro 5.000,00.</w:t>
      </w:r>
    </w:p>
    <w:p w:rsidR="00900ACA" w:rsidRPr="00553799" w:rsidRDefault="00900ACA" w:rsidP="00900ACA">
      <w:pPr>
        <w:spacing w:after="0" w:line="240" w:lineRule="atLeast"/>
        <w:jc w:val="both"/>
        <w:rPr>
          <w:rFonts w:asciiTheme="minorHAnsi" w:hAnsiTheme="minorHAnsi" w:cstheme="minorHAnsi"/>
        </w:rPr>
      </w:pPr>
    </w:p>
    <w:p w:rsidR="003F3A24" w:rsidRPr="00553799" w:rsidRDefault="003F3A24">
      <w:pPr>
        <w:rPr>
          <w:rFonts w:asciiTheme="minorHAnsi" w:hAnsiTheme="minorHAnsi" w:cstheme="minorHAnsi"/>
        </w:rPr>
      </w:pPr>
    </w:p>
    <w:sectPr w:rsidR="003F3A24" w:rsidRPr="0055379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13BA9"/>
    <w:multiLevelType w:val="hybridMultilevel"/>
    <w:tmpl w:val="13ECA37A"/>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 w15:restartNumberingAfterBreak="0">
    <w:nsid w:val="1E794157"/>
    <w:multiLevelType w:val="hybridMultilevel"/>
    <w:tmpl w:val="87FAE3B0"/>
    <w:lvl w:ilvl="0" w:tplc="D10C6B2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78528A9"/>
    <w:multiLevelType w:val="hybridMultilevel"/>
    <w:tmpl w:val="5E3A5E0C"/>
    <w:lvl w:ilvl="0" w:tplc="8EFCF486">
      <w:numFmt w:val="bullet"/>
      <w:lvlText w:val="-"/>
      <w:lvlJc w:val="left"/>
      <w:pPr>
        <w:ind w:left="592" w:hanging="360"/>
      </w:pPr>
      <w:rPr>
        <w:rFonts w:ascii="Times New Roman" w:eastAsia="Times New Roman" w:hAnsi="Times New Roman" w:hint="default"/>
      </w:rPr>
    </w:lvl>
    <w:lvl w:ilvl="1" w:tplc="04100003" w:tentative="1">
      <w:start w:val="1"/>
      <w:numFmt w:val="bullet"/>
      <w:lvlText w:val="o"/>
      <w:lvlJc w:val="left"/>
      <w:pPr>
        <w:ind w:left="1312" w:hanging="360"/>
      </w:pPr>
      <w:rPr>
        <w:rFonts w:ascii="Courier New" w:hAnsi="Courier New" w:hint="default"/>
      </w:rPr>
    </w:lvl>
    <w:lvl w:ilvl="2" w:tplc="04100005" w:tentative="1">
      <w:start w:val="1"/>
      <w:numFmt w:val="bullet"/>
      <w:lvlText w:val=""/>
      <w:lvlJc w:val="left"/>
      <w:pPr>
        <w:ind w:left="2032" w:hanging="360"/>
      </w:pPr>
      <w:rPr>
        <w:rFonts w:ascii="Wingdings" w:hAnsi="Wingdings" w:hint="default"/>
      </w:rPr>
    </w:lvl>
    <w:lvl w:ilvl="3" w:tplc="04100001" w:tentative="1">
      <w:start w:val="1"/>
      <w:numFmt w:val="bullet"/>
      <w:lvlText w:val=""/>
      <w:lvlJc w:val="left"/>
      <w:pPr>
        <w:ind w:left="2752" w:hanging="360"/>
      </w:pPr>
      <w:rPr>
        <w:rFonts w:ascii="Symbol" w:hAnsi="Symbol" w:hint="default"/>
      </w:rPr>
    </w:lvl>
    <w:lvl w:ilvl="4" w:tplc="04100003" w:tentative="1">
      <w:start w:val="1"/>
      <w:numFmt w:val="bullet"/>
      <w:lvlText w:val="o"/>
      <w:lvlJc w:val="left"/>
      <w:pPr>
        <w:ind w:left="3472" w:hanging="360"/>
      </w:pPr>
      <w:rPr>
        <w:rFonts w:ascii="Courier New" w:hAnsi="Courier New" w:hint="default"/>
      </w:rPr>
    </w:lvl>
    <w:lvl w:ilvl="5" w:tplc="04100005" w:tentative="1">
      <w:start w:val="1"/>
      <w:numFmt w:val="bullet"/>
      <w:lvlText w:val=""/>
      <w:lvlJc w:val="left"/>
      <w:pPr>
        <w:ind w:left="4192" w:hanging="360"/>
      </w:pPr>
      <w:rPr>
        <w:rFonts w:ascii="Wingdings" w:hAnsi="Wingdings" w:hint="default"/>
      </w:rPr>
    </w:lvl>
    <w:lvl w:ilvl="6" w:tplc="04100001" w:tentative="1">
      <w:start w:val="1"/>
      <w:numFmt w:val="bullet"/>
      <w:lvlText w:val=""/>
      <w:lvlJc w:val="left"/>
      <w:pPr>
        <w:ind w:left="4912" w:hanging="360"/>
      </w:pPr>
      <w:rPr>
        <w:rFonts w:ascii="Symbol" w:hAnsi="Symbol" w:hint="default"/>
      </w:rPr>
    </w:lvl>
    <w:lvl w:ilvl="7" w:tplc="04100003" w:tentative="1">
      <w:start w:val="1"/>
      <w:numFmt w:val="bullet"/>
      <w:lvlText w:val="o"/>
      <w:lvlJc w:val="left"/>
      <w:pPr>
        <w:ind w:left="5632" w:hanging="360"/>
      </w:pPr>
      <w:rPr>
        <w:rFonts w:ascii="Courier New" w:hAnsi="Courier New" w:hint="default"/>
      </w:rPr>
    </w:lvl>
    <w:lvl w:ilvl="8" w:tplc="04100005" w:tentative="1">
      <w:start w:val="1"/>
      <w:numFmt w:val="bullet"/>
      <w:lvlText w:val=""/>
      <w:lvlJc w:val="left"/>
      <w:pPr>
        <w:ind w:left="6352"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CA"/>
    <w:rsid w:val="003F3A24"/>
    <w:rsid w:val="004E1E5E"/>
    <w:rsid w:val="00553799"/>
    <w:rsid w:val="008D326E"/>
    <w:rsid w:val="00900ACA"/>
    <w:rsid w:val="0098447A"/>
    <w:rsid w:val="00D471C0"/>
    <w:rsid w:val="00F451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BA239-8EC4-43BE-AF68-3D2C44F8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00ACA"/>
    <w:pPr>
      <w:spacing w:after="200" w:line="276" w:lineRule="auto"/>
    </w:pPr>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900A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ormattiva.it/uri-res/N2Ls?urn:nir:stato:decreto.legislativo:2001-03-30;165~art7!v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rmattiva.it/uri-res/N2Ls?urn:nir:stato:decreto.legge:2008-06-25;112!vig=" TargetMode="External"/><Relationship Id="rId5" Type="http://schemas.openxmlformats.org/officeDocument/2006/relationships/hyperlink" Target="http://www.normattiva.it/uri-res/N2Ls?urn:nir:stato:legge:2007-12-24;244!vi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903</Words>
  <Characters>5151</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Winblu</Company>
  <LinksUpToDate>false</LinksUpToDate>
  <CharactersWithSpaces>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Ragioneria</dc:creator>
  <cp:keywords/>
  <dc:description/>
  <cp:lastModifiedBy>Ragioneria</cp:lastModifiedBy>
  <cp:revision>8</cp:revision>
  <dcterms:created xsi:type="dcterms:W3CDTF">2024-05-09T09:21:00Z</dcterms:created>
  <dcterms:modified xsi:type="dcterms:W3CDTF">2025-03-20T13:30:00Z</dcterms:modified>
</cp:coreProperties>
</file>